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20" w:rsidRPr="001E4F20" w:rsidRDefault="001E4F20" w:rsidP="001E4F20">
      <w:pPr>
        <w:widowControl/>
        <w:shd w:val="clear" w:color="auto" w:fill="FFFFFF"/>
        <w:spacing w:line="300" w:lineRule="atLeast"/>
        <w:jc w:val="distribute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台南市私立</w:t>
      </w:r>
      <w:bookmarkStart w:id="0" w:name="_GoBack"/>
      <w:r w:rsidRPr="001E4F2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長榮高中</w:t>
      </w:r>
      <w:r w:rsidRPr="001E4F2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104</w:t>
      </w:r>
      <w:r w:rsidRPr="001E4F2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學年度性別平等教育實施計畫</w:t>
      </w:r>
      <w:bookmarkEnd w:id="0"/>
    </w:p>
    <w:p w:rsidR="001E4F20" w:rsidRPr="001E4F20" w:rsidRDefault="001E4F20" w:rsidP="001E4F20">
      <w:pPr>
        <w:widowControl/>
        <w:shd w:val="clear" w:color="auto" w:fill="FFFFFF"/>
        <w:spacing w:line="300" w:lineRule="atLeast"/>
        <w:ind w:left="147" w:hanging="714"/>
        <w:jc w:val="righ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1E4F20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                                           </w:t>
      </w:r>
      <w:r w:rsidRPr="001E4F20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 104</w:t>
      </w:r>
      <w:r w:rsidRPr="001E4F20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年</w:t>
      </w:r>
      <w:r w:rsidRPr="001E4F20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11</w:t>
      </w:r>
      <w:r w:rsidRPr="001E4F20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月</w:t>
      </w:r>
      <w:r w:rsidRPr="001E4F20">
        <w:rPr>
          <w:rFonts w:ascii="標楷體" w:eastAsia="標楷體" w:hAnsi="標楷體" w:cs="Times New Roman"/>
          <w:color w:val="000000"/>
          <w:kern w:val="0"/>
          <w:sz w:val="20"/>
          <w:szCs w:val="20"/>
        </w:rPr>
        <w:t>12</w:t>
      </w:r>
      <w:r w:rsidRPr="001E4F20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日性平會會議通過</w:t>
      </w:r>
    </w:p>
    <w:p w:rsidR="001E4F20" w:rsidRPr="001E4F20" w:rsidRDefault="001E4F20" w:rsidP="001E4F20">
      <w:pPr>
        <w:widowControl/>
        <w:shd w:val="clear" w:color="auto" w:fill="FFFFFF"/>
        <w:spacing w:before="100" w:beforeAutospacing="1" w:after="100" w:afterAutospacing="1" w:line="300" w:lineRule="atLeast"/>
        <w:ind w:left="290" w:hanging="857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     一、依據：</w:t>
      </w:r>
    </w:p>
    <w:p w:rsidR="001E4F20" w:rsidRPr="001E4F20" w:rsidRDefault="001E4F20" w:rsidP="001E4F20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（一）性別平等教育法。</w:t>
      </w:r>
    </w:p>
    <w:p w:rsidR="001E4F20" w:rsidRPr="001E4F20" w:rsidRDefault="001E4F20" w:rsidP="001E4F20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(二) 性別平等教育法施行細則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（三）校園性侵害、性騷擾或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性霸凌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防治準則。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(四) 長榮中學性別平等教育委員會組織章程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(五) 長榮中學校園性侵害性騷擾或性霸凌防治規定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(六)</w:t>
      </w:r>
      <w:r w:rsidRPr="001E4F20">
        <w:rPr>
          <w:rFonts w:ascii="Arial" w:eastAsia="新細明體" w:hAnsi="Arial" w:cs="Arial"/>
          <w:color w:val="000000"/>
          <w:kern w:val="0"/>
          <w:szCs w:val="24"/>
        </w:rPr>
        <w:t> </w:t>
      </w: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教中(二)字第1000591646號函「高級中等學校性別平等教育工作委員會運作模式參考範例」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(七) 國民及學前教育署</w:t>
      </w:r>
      <w:r w:rsidRPr="001E4F20">
        <w:rPr>
          <w:rFonts w:ascii="標楷體" w:eastAsia="標楷體" w:hAnsi="標楷體" w:cs="Times New Roman" w:hint="eastAsia"/>
          <w:color w:val="000000"/>
          <w:spacing w:val="-4"/>
          <w:kern w:val="0"/>
          <w:szCs w:val="24"/>
        </w:rPr>
        <w:t>高級中等學校推動性別平等教育</w:t>
      </w: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自評及訪視檢核表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二、目的：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  （一）厚植性別平等教育資源。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  （二）建立無性別歧視教育環境。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  （三）增進親師生對性別平等及性侵害、性騷擾、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性霸凌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等議題之正確認識。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  （四）推動校園性別平等觀念，建立性別無障礙之學習環境。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三、實施期程：104年8月1日至105年7月31日</w:t>
      </w:r>
    </w:p>
    <w:p w:rsidR="001E4F20" w:rsidRPr="001E4F20" w:rsidRDefault="001E4F20" w:rsidP="001E4F20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四、主辦單位：教務處、學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務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處、總務處、輔導處、圖書館、人事室、會計室。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五、各單位工作職掌：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72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（一）課程與教學組（教務處）：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1.發展性別平等教育課程與教學、教材及評量；教材之編寫、審查及選用，應符合性別平等教育原則</w:t>
      </w:r>
      <w:r w:rsidRPr="001E4F20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196" w:hanging="23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2.規劃性別平等教育（含性侵害防治、家庭暴力防治、情感教育、同志教育等）融入各科教學，並且每學年應實施性別平等教育相關課程與活動至少四小時。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196" w:hanging="23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3.協助處理與性別平等教育法有關案件之學生當事人學籍、課程、成績及其他相關處理人員之課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務排代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事宜。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4.安排性平事件當事人接受性別平等教育課程相關事宜。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5.實習教師之培訓、管理與性平宣導、教育與研習。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6.其他有關學校性別平等教育課程與教學事務。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72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（二）防治組（學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務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處）：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852" w:firstLine="120"/>
        <w:textAlignment w:val="baselin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1.規劃辦理學生及家長性別平等教育相關活動。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852" w:firstLine="120"/>
        <w:textAlignment w:val="baselin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2.辦理性別平等教育委員會之相關業務。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1092" w:hanging="240"/>
        <w:textAlignment w:val="baselin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 3.受理校園性侵害、性騷擾或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性霸凌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事件之申請或檢舉調查及處理相關行政事宜。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852" w:firstLine="120"/>
        <w:textAlignment w:val="baselin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3.建立校園性別事件及加害人檔案資料，並負責於加害人轉至其他學校就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852" w:firstLine="360"/>
        <w:textAlignment w:val="baselin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讀時之通報事宜。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852" w:firstLine="120"/>
        <w:textAlignment w:val="baselin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4.涉及校園性別事件通報(生輔組)及其他協調聯繫事宜。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852" w:firstLine="120"/>
        <w:textAlignment w:val="baseline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5.派專人負責性別事件調查記錄及調查行政聯繫工作。</w:t>
      </w:r>
    </w:p>
    <w:p w:rsidR="001E4F20" w:rsidRPr="001E4F20" w:rsidRDefault="001E4F20" w:rsidP="001E4F20">
      <w:pPr>
        <w:widowControl/>
        <w:shd w:val="clear" w:color="auto" w:fill="FFFFFF"/>
        <w:spacing w:before="18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6.其他有關推動性別平等教育宣導與防治之業務。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72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（三）環境與資源組（總務處）：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1.建立安全及性別平等之環境。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2.辦理校園安全空間檢視說明會，公告檢視成果，並作成紀錄。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3.繪製並更新校園危險地圖，改善校園空間安全。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4.固定或定期執行學校事務人員如：校車司機、外包廠商、保全人員等之管理與性平宣導。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20" w:hanging="2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5.其他有關性別平等教育之環境與資源業務。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72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（四）諮商與輔導組（輔導處）：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1.實施性別平等教育防治相關之活動。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2.擬定與執行性別事件相關當事人之輔導計畫，並向性平會提出報告。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3.提供性別事件之當事人、家長、證人等之心理諮商、諮詢、轉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介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相關資源及追蹤輔導等服務。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4.提供懷孕學生諮商輔導、家長諮詢及社會資源之協助。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5.其他有關性別平等教育案件之輔導事宜。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（五）圖書與刊物推行組（圖書館）：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1.購置性別平等教育圖書、刊物，供親師生借閱賞析。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120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2. 配合主管機關及其他單位共同辦理性別平等教育讀書會及心得寫作、推展性別平等教育圖書與刊物閱讀活動及其他相關活動，潛移默化學生性平價值觀。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72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（六）人事行政組（人事室）：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5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r w:rsidRPr="001E4F20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規劃並推動校內性別主流化，建構教職員工性別平等意識。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5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2.</w:t>
      </w:r>
      <w:r w:rsidRPr="001E4F20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辦理教職員工性別平等教育研習或相關進修活動。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958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3. 檢視並統計教職員參與性別平等教育情形，建構教職員性別平等規範。 4.</w:t>
      </w:r>
      <w:r w:rsidRPr="001E4F20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受理教職員工間申訴之性騷擾事件</w:t>
      </w:r>
      <w:proofErr w:type="gramStart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及性工法</w:t>
      </w:r>
      <w:proofErr w:type="gramEnd"/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相關事件之申訴與處理相關行政事宜。</w:t>
      </w:r>
    </w:p>
    <w:p w:rsidR="001E4F20" w:rsidRPr="001E4F20" w:rsidRDefault="001E4F20" w:rsidP="001E4F20">
      <w:pPr>
        <w:widowControl/>
        <w:shd w:val="clear" w:color="auto" w:fill="FFFFFF"/>
        <w:spacing w:before="120" w:line="300" w:lineRule="atLeast"/>
        <w:ind w:left="720" w:hanging="2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（七）會計組：審核性平會所擬各項實施方案所編列經費預算。</w:t>
      </w:r>
    </w:p>
    <w:p w:rsidR="001E4F20" w:rsidRPr="001E4F20" w:rsidRDefault="001E4F20" w:rsidP="001E4F20">
      <w:pPr>
        <w:widowControl/>
        <w:shd w:val="clear" w:color="auto" w:fill="FFFFFF"/>
        <w:spacing w:before="120" w:after="100" w:afterAutospacing="1" w:line="30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1E4F20">
        <w:rPr>
          <w:rFonts w:ascii="標楷體" w:eastAsia="標楷體" w:hAnsi="標楷體" w:cs="Times New Roman" w:hint="eastAsia"/>
          <w:color w:val="000000"/>
          <w:kern w:val="0"/>
          <w:szCs w:val="24"/>
        </w:rPr>
        <w:t>六、本實施計畫經本校性別平等教育委員會通過後實施，修正時亦同。</w:t>
      </w:r>
    </w:p>
    <w:p w:rsidR="0044273E" w:rsidRPr="001E4F20" w:rsidRDefault="0044273E"/>
    <w:sectPr w:rsidR="0044273E" w:rsidRPr="001E4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20"/>
    <w:rsid w:val="001E4F20"/>
    <w:rsid w:val="004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324B"/>
  <w15:chartTrackingRefBased/>
  <w15:docId w15:val="{C6395699-BF0B-4235-9505-0A3F6799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1E4F20"/>
  </w:style>
  <w:style w:type="character" w:styleId="a3">
    <w:name w:val="Emphasis"/>
    <w:basedOn w:val="a0"/>
    <w:uiPriority w:val="20"/>
    <w:qFormat/>
    <w:rsid w:val="001E4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2018-04-20T08:48:00Z</dcterms:created>
  <dcterms:modified xsi:type="dcterms:W3CDTF">2018-04-20T08:50:00Z</dcterms:modified>
</cp:coreProperties>
</file>